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</w:t>
      </w:r>
    </w:p>
    <w:p w:rsidR="002632B9" w:rsidRPr="002632B9" w:rsidRDefault="002632B9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Hlk132378618"/>
      <w:r w:rsidRPr="002632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Speak memory</w:t>
      </w:r>
      <w:bookmarkEnd w:id="0"/>
      <w:r w:rsidRPr="002632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Tr="00606680">
        <w:tc>
          <w:tcPr>
            <w:tcW w:w="80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606680">
        <w:tc>
          <w:tcPr>
            <w:tcW w:w="802" w:type="dxa"/>
          </w:tcPr>
          <w:p w:rsidR="001972E1" w:rsidRPr="00FE6F51" w:rsidRDefault="001972E1" w:rsidP="00282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1972E1" w:rsidRPr="00FE6F51" w:rsidRDefault="001972E1" w:rsidP="00282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3124F9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606680">
        <w:tc>
          <w:tcPr>
            <w:tcW w:w="802" w:type="dxa"/>
          </w:tcPr>
          <w:p w:rsidR="001972E1" w:rsidRPr="00FE6F51" w:rsidRDefault="001972E1" w:rsidP="00282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1972E1" w:rsidRPr="00FE6F51" w:rsidRDefault="001972E1" w:rsidP="00282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F02A1C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606680">
        <w:tc>
          <w:tcPr>
            <w:tcW w:w="802" w:type="dxa"/>
          </w:tcPr>
          <w:p w:rsidR="001972E1" w:rsidRPr="00FE6F51" w:rsidRDefault="001972E1" w:rsidP="00282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1972E1" w:rsidRPr="00FE6F51" w:rsidRDefault="001972E1" w:rsidP="00282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312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3124F9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606680">
        <w:tc>
          <w:tcPr>
            <w:tcW w:w="802" w:type="dxa"/>
          </w:tcPr>
          <w:p w:rsidR="001972E1" w:rsidRPr="00FE6F51" w:rsidRDefault="001972E1" w:rsidP="00282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1972E1" w:rsidRPr="00FE6F51" w:rsidRDefault="001972E1" w:rsidP="00282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FB7BFC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:rsidTr="00606680">
        <w:tc>
          <w:tcPr>
            <w:tcW w:w="802" w:type="dxa"/>
          </w:tcPr>
          <w:p w:rsidR="001972E1" w:rsidRPr="00FE6F51" w:rsidRDefault="001972E1" w:rsidP="00282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1972E1" w:rsidRPr="00FE6F51" w:rsidRDefault="001972E1" w:rsidP="00282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2632B9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606680">
        <w:tc>
          <w:tcPr>
            <w:tcW w:w="802" w:type="dxa"/>
          </w:tcPr>
          <w:p w:rsidR="001972E1" w:rsidRPr="00FE6F51" w:rsidRDefault="001972E1" w:rsidP="00282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1972E1" w:rsidRPr="00FE6F51" w:rsidRDefault="001972E1" w:rsidP="00282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AB3437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Tr="00606680">
        <w:tc>
          <w:tcPr>
            <w:tcW w:w="80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1972E1" w:rsidRDefault="001972E1" w:rsidP="00282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3124F9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606680">
        <w:tc>
          <w:tcPr>
            <w:tcW w:w="80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1972E1" w:rsidRDefault="001972E1" w:rsidP="00282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71103F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606680">
        <w:tc>
          <w:tcPr>
            <w:tcW w:w="80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1972E1" w:rsidRPr="00577708" w:rsidRDefault="001972E1" w:rsidP="002820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1972E1" w:rsidRDefault="0071103F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1F09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972E1" w:rsidTr="00606680">
        <w:tc>
          <w:tcPr>
            <w:tcW w:w="80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1972E1" w:rsidRDefault="001972E1" w:rsidP="00282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972E1" w:rsidRDefault="001972E1" w:rsidP="002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6680" w:rsidTr="00606680">
        <w:tc>
          <w:tcPr>
            <w:tcW w:w="802" w:type="dxa"/>
          </w:tcPr>
          <w:p w:rsidR="00606680" w:rsidRDefault="00606680" w:rsidP="00606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606680" w:rsidRPr="005C6EF4" w:rsidRDefault="00606680" w:rsidP="00606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визначена суперечність, яка би обумовлювала актуальність теми дослідження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у сучасних наукових дослідженнях за темою роботи або між теорією і практикою тощо.</w:t>
            </w:r>
          </w:p>
        </w:tc>
        <w:tc>
          <w:tcPr>
            <w:tcW w:w="1692" w:type="dxa"/>
          </w:tcPr>
          <w:p w:rsidR="00606680" w:rsidRDefault="000C59E0" w:rsidP="0060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  <w:tc>
          <w:tcPr>
            <w:tcW w:w="1352" w:type="dxa"/>
          </w:tcPr>
          <w:p w:rsidR="00606680" w:rsidRDefault="003124F9" w:rsidP="0060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FC6219" w:rsidTr="00606680">
        <w:tc>
          <w:tcPr>
            <w:tcW w:w="802" w:type="dxa"/>
          </w:tcPr>
          <w:p w:rsidR="00FC6219" w:rsidRDefault="00FC6219" w:rsidP="00FC62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FC6219" w:rsidRDefault="00FC6219" w:rsidP="00FC6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Попри те, що тема роботи відповідає тематиці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студїі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сам зміст роботи не повно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відовідає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темі: у науковому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і її викладі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автобіографічної пам’яті показана нечітко, натомість досліджується її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стресбуферна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однак не ототожнює її із </w:t>
            </w:r>
            <w:r w:rsidR="000C5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ресурсом</w:t>
            </w:r>
            <w:r w:rsidR="00016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принаймні це не доведено автором/кою</w:t>
            </w:r>
          </w:p>
        </w:tc>
        <w:tc>
          <w:tcPr>
            <w:tcW w:w="1692" w:type="dxa"/>
          </w:tcPr>
          <w:p w:rsidR="00FC6219" w:rsidRDefault="000C59E0" w:rsidP="00FC6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bookmarkStart w:id="1" w:name="_GoBack"/>
            <w:bookmarkEnd w:id="1"/>
          </w:p>
        </w:tc>
        <w:tc>
          <w:tcPr>
            <w:tcW w:w="1352" w:type="dxa"/>
          </w:tcPr>
          <w:p w:rsidR="00FC6219" w:rsidRDefault="00FC6219" w:rsidP="00FC6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AB3437" w:rsidTr="00282078">
        <w:tc>
          <w:tcPr>
            <w:tcW w:w="802" w:type="dxa"/>
            <w:vMerge w:val="restart"/>
          </w:tcPr>
          <w:p w:rsidR="00AB3437" w:rsidRDefault="00AB3437" w:rsidP="0001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AB3437" w:rsidRDefault="00AB3437" w:rsidP="000160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Було би доцільно вказати рівень валідності досліджуваної методики. Припускається, що під валідністю розуміються вжиті автором/кою «узгодженість» і «відповідність», однак, якщо це дійсно так, ці поняття не передають повно зміст поняття «валідність». Якщо автор/ка не досліджували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валідність, це також варто було би зазначити.</w:t>
            </w:r>
          </w:p>
          <w:p w:rsidR="00AB3437" w:rsidRDefault="00AB3437" w:rsidP="000160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цьому у висновках до 2-го розділу роботи (с.24) і загальних висновках (с. 26), зазначено,</w:t>
            </w:r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доведена валідність Шкали роздумів про життєвий досвід. Однак,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оскільки </w:t>
            </w:r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відповідному підрозділі роботи 2.4.1 поняття «валідність» не згадується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не ілюструється її доведення, відповідно вважати валідність доведеною не є можливою.</w:t>
            </w:r>
          </w:p>
        </w:tc>
        <w:tc>
          <w:tcPr>
            <w:tcW w:w="1692" w:type="dxa"/>
            <w:vMerge w:val="restart"/>
          </w:tcPr>
          <w:p w:rsidR="00AB3437" w:rsidRDefault="00AB3437" w:rsidP="00FB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-4</w:t>
            </w:r>
          </w:p>
        </w:tc>
        <w:tc>
          <w:tcPr>
            <w:tcW w:w="1352" w:type="dxa"/>
          </w:tcPr>
          <w:p w:rsidR="00AB3437" w:rsidRDefault="00AB3437" w:rsidP="0001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AB3437" w:rsidTr="00282078">
        <w:tc>
          <w:tcPr>
            <w:tcW w:w="802" w:type="dxa"/>
            <w:vMerge/>
          </w:tcPr>
          <w:p w:rsidR="00AB3437" w:rsidRDefault="00AB3437" w:rsidP="0001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AB3437" w:rsidRPr="00474860" w:rsidRDefault="00AB3437" w:rsidP="000160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с. 24 автор/ка зазначає, що </w:t>
            </w:r>
            <w:r w:rsidRPr="00362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гіпотеза про </w:t>
            </w:r>
            <w:proofErr w:type="spellStart"/>
            <w:r w:rsidRPr="00362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МЕДІАЦІЙНУ</w:t>
            </w:r>
            <w:proofErr w:type="spellEnd"/>
            <w:r w:rsidRPr="00362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роль автобіографічної пам’яті доведена, однак у зміст роботи слово «медіація» не вживається, натомість автор/ка у п. 2.4.2 своєї роботи досліджує </w:t>
            </w:r>
            <w:proofErr w:type="spellStart"/>
            <w:r w:rsidRPr="00362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стресБУФЕРНУ</w:t>
            </w:r>
            <w:proofErr w:type="spellEnd"/>
            <w:r w:rsidRPr="00362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роль функцій автобіографічної пам’яті. Якщо автор/ка ототожнює ці поняття (що за їх змістом неприпустимо), то він/вона мав/мали би це пояснити та обґрунтувати. </w:t>
            </w:r>
          </w:p>
        </w:tc>
        <w:tc>
          <w:tcPr>
            <w:tcW w:w="1692" w:type="dxa"/>
            <w:vMerge/>
          </w:tcPr>
          <w:p w:rsidR="00AB3437" w:rsidRDefault="00AB3437" w:rsidP="00FB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B3437" w:rsidRDefault="00AB3437" w:rsidP="0001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AB3437" w:rsidTr="00282078">
        <w:tc>
          <w:tcPr>
            <w:tcW w:w="802" w:type="dxa"/>
            <w:vMerge/>
          </w:tcPr>
          <w:p w:rsidR="00AB3437" w:rsidRDefault="00AB3437" w:rsidP="00FB7B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AB3437" w:rsidRPr="00DC0A66" w:rsidRDefault="00AB3437" w:rsidP="00FB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«Концептуальна модель дослідження» (с. 13) не роз’яснена. Попри детальні і цікаві теоретичні викладки вище, автору/ці слід було би дати коротке і чітке пояснення  щодо визначених у моделі елементів і </w:t>
            </w:r>
            <w:proofErr w:type="spellStart"/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ними. Наступний після рисунку моделі </w:t>
            </w:r>
            <w:proofErr w:type="spellStart"/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коментр</w:t>
            </w:r>
            <w:proofErr w:type="spellEnd"/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 жаль, з цим завданням не справляється. </w:t>
            </w:r>
          </w:p>
        </w:tc>
        <w:tc>
          <w:tcPr>
            <w:tcW w:w="1692" w:type="dxa"/>
            <w:vMerge/>
          </w:tcPr>
          <w:p w:rsidR="00AB3437" w:rsidRDefault="00AB3437" w:rsidP="00FB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B3437" w:rsidRDefault="00AB3437" w:rsidP="00FB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AB3437" w:rsidTr="00282078">
        <w:tc>
          <w:tcPr>
            <w:tcW w:w="802" w:type="dxa"/>
            <w:vMerge/>
          </w:tcPr>
          <w:p w:rsidR="00AB3437" w:rsidRDefault="00AB3437" w:rsidP="00FB7B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AB3437" w:rsidRPr="00362D41" w:rsidRDefault="00AB3437" w:rsidP="00FB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с. 20-21 роботи зазначено: «</w:t>
            </w:r>
            <w:r w:rsidRPr="00362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концептуальної моделі дослідження (Рис. 1) в аналіз почергово вводилися функції </w:t>
            </w:r>
            <w:proofErr w:type="spellStart"/>
            <w:r w:rsidRPr="00362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автобіогафічної</w:t>
            </w:r>
            <w:proofErr w:type="spellEnd"/>
            <w:r w:rsidRPr="00362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пам’яті». По-перше, на жаль, у концептуальній моделі (с.13) не відображені функції автобіографічної пам’яті і стає незрозумілим, чому автор/ка робить відсилку до неї.</w:t>
            </w:r>
          </w:p>
          <w:p w:rsidR="00AB3437" w:rsidRPr="00B22768" w:rsidRDefault="00AB3437" w:rsidP="00FB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По-друге, було би цікаво з’ясувати, як саме автор/ка вводить функції </w:t>
            </w:r>
            <w:proofErr w:type="spellStart"/>
            <w:r w:rsidRPr="00362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автобіогафічної</w:t>
            </w:r>
            <w:proofErr w:type="spellEnd"/>
            <w:r w:rsidRPr="00362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пам’яті в аналіз. Якщо йдеться про числові показники, як припускається, то це варто було би зазначити.</w:t>
            </w:r>
          </w:p>
        </w:tc>
        <w:tc>
          <w:tcPr>
            <w:tcW w:w="1692" w:type="dxa"/>
            <w:vMerge/>
          </w:tcPr>
          <w:p w:rsidR="00AB3437" w:rsidRDefault="00AB3437" w:rsidP="00FB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B3437" w:rsidRDefault="00AB3437" w:rsidP="00FB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  <w:p w:rsidR="00AB3437" w:rsidRDefault="00AB3437" w:rsidP="00FB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B3437" w:rsidTr="00282078">
        <w:tc>
          <w:tcPr>
            <w:tcW w:w="802" w:type="dxa"/>
          </w:tcPr>
          <w:p w:rsidR="00AB3437" w:rsidRDefault="00AB3437" w:rsidP="00AB3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AB3437" w:rsidRDefault="00AB3437" w:rsidP="00AB3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роботі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 ключових для неї понять «буфер», «медіатор», «модератор»,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через що по всій роботі відбувається змішування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взаємопідміна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понять.</w:t>
            </w:r>
          </w:p>
          <w:p w:rsidR="00AB3437" w:rsidRPr="00DC0A66" w:rsidRDefault="00AB3437" w:rsidP="00AB3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н</w:t>
            </w:r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с. 13 роботи автор/ка ототожнює два нетотожних поняття «модератор» і «буфер», які згідно словника іншомовних слів, мають хоч і подібне, але неоднакове 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при цьому авто/ка не пояснює таку взаємозамінність понять. Те саме відбувається у підрозділі 2.1, де автор/ка почергово вживає поняття «буфер» і «модератор» як взаємозамінні, однак, це не відповідає змістовій дійсності цих понять і зменшує теоретичне значення своєї роботи, оскільки зазначені поняття є </w:t>
            </w:r>
          </w:p>
        </w:tc>
        <w:tc>
          <w:tcPr>
            <w:tcW w:w="1692" w:type="dxa"/>
          </w:tcPr>
          <w:p w:rsidR="00AB3437" w:rsidRDefault="00AB3437" w:rsidP="00AB3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-1</w:t>
            </w:r>
          </w:p>
        </w:tc>
        <w:tc>
          <w:tcPr>
            <w:tcW w:w="1352" w:type="dxa"/>
          </w:tcPr>
          <w:p w:rsidR="00AB3437" w:rsidRDefault="00AB3437" w:rsidP="00AB3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AB3437" w:rsidTr="00282078">
        <w:tc>
          <w:tcPr>
            <w:tcW w:w="802" w:type="dxa"/>
            <w:vMerge w:val="restart"/>
          </w:tcPr>
          <w:p w:rsidR="00AB3437" w:rsidRDefault="00AB3437" w:rsidP="00FB7B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AB3437" w:rsidRPr="00DC0A66" w:rsidRDefault="00AB3437" w:rsidP="00FB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Мета, предмет, гіпотеза і завдання дослідження не узгоджені між собою:</w:t>
            </w:r>
          </w:p>
          <w:p w:rsidR="00AB3437" w:rsidRPr="00DC0A66" w:rsidRDefault="00AB3437" w:rsidP="00FB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мета визначена як вивчення функціональних особливостей автобіографічної пам’яті за умови дії стресових чинників у повсякденному житті; поняття «функціональні особливості» повністю зникає у предметі і гіпотезі дослідження; </w:t>
            </w:r>
          </w:p>
          <w:p w:rsidR="00AB3437" w:rsidRPr="00DC0A66" w:rsidRDefault="00AB3437" w:rsidP="00FB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 у предметі з’являється нове, порівняно з метою, поняття «рівень благополуччя особистості», яке зникає у гіпотезі, натомість виникає ще одне нове поняття: «рівень задоволеності життям». </w:t>
            </w:r>
          </w:p>
          <w:p w:rsidR="00AB3437" w:rsidRPr="00DC0A66" w:rsidRDefault="00AB3437" w:rsidP="00FB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 першому завданні з’являється, ще одне нове поняття – «психологічний ресурс»;</w:t>
            </w:r>
          </w:p>
          <w:p w:rsidR="00AB3437" w:rsidRDefault="00AB3437" w:rsidP="00FB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у предметі автобіографічна пам’ять  визначається як медіатор, а в гіпотезі – як модератор.</w:t>
            </w:r>
          </w:p>
          <w:p w:rsidR="00AB3437" w:rsidRPr="00DC0A66" w:rsidRDefault="00AB3437" w:rsidP="00FB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437" w:rsidRDefault="00AB3437" w:rsidP="00AB3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Зауважимо, що поняття «рівень благополуччя особистості» «рівень задоволеності життям» і «психологічні ресурси» не є тотожними і взаємозамінними, так само, як поняття «медіатор» і «модератор», а використання нетотожних понять як взаємозамінних створює наукову плутанину і порушує логіку дослідження.</w:t>
            </w:r>
          </w:p>
          <w:p w:rsidR="00AB3437" w:rsidRDefault="00AB3437" w:rsidP="00AB3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437" w:rsidRDefault="00AB3437" w:rsidP="00AB3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Незрозумілим і недоцільним виглядає повторення наукового апарату на початку 2-го розділу роботи (с. 15). Зауважимо, що тут, однак, усунуте поняття «медіатор» вжите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вступі змісті предмету дослідження.</w:t>
            </w:r>
          </w:p>
          <w:p w:rsidR="00AB3437" w:rsidRPr="00DC0A66" w:rsidRDefault="00AB3437" w:rsidP="00AB3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vMerge w:val="restart"/>
          </w:tcPr>
          <w:p w:rsidR="00AB3437" w:rsidRDefault="00AB3437" w:rsidP="00711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-3</w:t>
            </w:r>
          </w:p>
        </w:tc>
        <w:tc>
          <w:tcPr>
            <w:tcW w:w="1352" w:type="dxa"/>
          </w:tcPr>
          <w:p w:rsidR="00AB3437" w:rsidRDefault="00AB3437" w:rsidP="00FB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AB3437" w:rsidTr="00282078">
        <w:tc>
          <w:tcPr>
            <w:tcW w:w="802" w:type="dxa"/>
            <w:vMerge/>
          </w:tcPr>
          <w:p w:rsidR="00AB3437" w:rsidRDefault="00AB3437" w:rsidP="00FB7B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AB3437" w:rsidRPr="00091EF2" w:rsidRDefault="00AB3437" w:rsidP="00FB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Зазначаючи,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автобігорафічна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пам’ять </w:t>
            </w:r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пом’якшує негативний вплив сприйманого стресу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13), автор/ка дещо собі суперечить, оскільки у своєму ґрунтовному теоретичному аналізі зазначає, що негативні спогади можуть посилювати стрес. Було би добре, задля наукової об’єктивності, показати у моделі дослідження обидва – позитивний і негативний – впливи на переживання людиною стресу, а також зазначити можливі способи посилення позитивного і зменшення негативного впливу автобіографічної пам’яті на переживання стресу і психологічне благополуччя.</w:t>
            </w:r>
          </w:p>
        </w:tc>
        <w:tc>
          <w:tcPr>
            <w:tcW w:w="1692" w:type="dxa"/>
            <w:vMerge/>
          </w:tcPr>
          <w:p w:rsidR="00AB3437" w:rsidRDefault="00AB3437" w:rsidP="00711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B3437" w:rsidRDefault="00AB3437" w:rsidP="00FB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AB3437" w:rsidTr="00796E6C">
        <w:trPr>
          <w:trHeight w:val="3542"/>
        </w:trPr>
        <w:tc>
          <w:tcPr>
            <w:tcW w:w="802" w:type="dxa"/>
            <w:vMerge/>
          </w:tcPr>
          <w:p w:rsidR="00AB3437" w:rsidRDefault="00AB3437" w:rsidP="00711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AB3437" w:rsidRDefault="00AB3437" w:rsidP="00711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У роботі наявні деякі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суб’єктивізми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B3437" w:rsidRDefault="00AB3437" w:rsidP="00711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у контексті експериментально-психологічних досліджень прийнято вживати вираз «висока надійність», а не «гарна надійність», що має досить суб’єктивний зміст (с. 18).</w:t>
            </w:r>
          </w:p>
          <w:p w:rsidR="00AB3437" w:rsidRPr="00091EF2" w:rsidRDefault="00AB3437" w:rsidP="00711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раза «автобіографічні спогади справляють вирішальний вплив на опорні моменти самооцінки людини &lt;….&gt;» (с.12-13) є доволі категоричною і при цьому недостатньо обґрунтованою.</w:t>
            </w:r>
          </w:p>
        </w:tc>
        <w:tc>
          <w:tcPr>
            <w:tcW w:w="1692" w:type="dxa"/>
            <w:vMerge/>
          </w:tcPr>
          <w:p w:rsidR="00AB3437" w:rsidRDefault="00AB3437" w:rsidP="00711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B3437" w:rsidRDefault="00AB3437" w:rsidP="0071103F">
            <w:pPr>
              <w:jc w:val="center"/>
            </w:pPr>
            <w:r w:rsidRPr="00C51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725090" w:rsidTr="00606680">
        <w:tc>
          <w:tcPr>
            <w:tcW w:w="802" w:type="dxa"/>
            <w:vMerge w:val="restart"/>
          </w:tcPr>
          <w:p w:rsidR="00725090" w:rsidRDefault="00725090" w:rsidP="00FB7B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725090" w:rsidRPr="00DC0A66" w:rsidRDefault="0094367B" w:rsidP="00FB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="00725090"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роботі подекуди порушено принцип академічної доброчесності:</w:t>
            </w:r>
          </w:p>
          <w:p w:rsidR="00725090" w:rsidRPr="003124F9" w:rsidRDefault="00725090" w:rsidP="00FB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 </w:t>
            </w:r>
            <w:r w:rsidRPr="00312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перераховуючи «різноманіття теорій, що покликані пояснити виникнення стресу», відповідно до принципу академічної доброчесності, було необхідно надати посилання на джерела, з яких ці теорії позичені, посилання є лише на джерело, з якого взята теорія </w:t>
            </w:r>
            <w:proofErr w:type="spellStart"/>
            <w:r w:rsidRPr="00312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буферизації</w:t>
            </w:r>
            <w:proofErr w:type="spellEnd"/>
          </w:p>
          <w:p w:rsidR="00725090" w:rsidRPr="00DC0A66" w:rsidRDefault="00725090" w:rsidP="00FB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визначаючи класифікацію ресурсів (с. 8), було би доцільно позначити, звідки вона позичена; якщо це авторська думка, також було би доцільно це зазначити</w:t>
            </w:r>
          </w:p>
        </w:tc>
        <w:tc>
          <w:tcPr>
            <w:tcW w:w="1692" w:type="dxa"/>
            <w:vMerge w:val="restart"/>
          </w:tcPr>
          <w:p w:rsidR="00725090" w:rsidRDefault="0094367B" w:rsidP="00FB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  <w:tc>
          <w:tcPr>
            <w:tcW w:w="1352" w:type="dxa"/>
            <w:vMerge w:val="restart"/>
          </w:tcPr>
          <w:p w:rsidR="00725090" w:rsidRDefault="00725090" w:rsidP="00FB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5090" w:rsidTr="00F461AC">
        <w:trPr>
          <w:trHeight w:val="4196"/>
        </w:trPr>
        <w:tc>
          <w:tcPr>
            <w:tcW w:w="802" w:type="dxa"/>
            <w:vMerge/>
            <w:tcBorders>
              <w:bottom w:val="single" w:sz="4" w:space="0" w:color="auto"/>
            </w:tcBorders>
          </w:tcPr>
          <w:p w:rsidR="00725090" w:rsidRDefault="00725090" w:rsidP="00FB7B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725090" w:rsidRPr="00DC0A66" w:rsidRDefault="0094367B" w:rsidP="00FB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</w:t>
            </w:r>
            <w:r w:rsidR="00725090" w:rsidRPr="00DC0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с. 10 подано неособове речення про те, що Досліджується взаємопов’язаність спогадів &lt;….&gt;» із зазначенням джерела. Наступне речення починається «Автор доходить висновку &lt;….&gt;». Було би більш чемно і щодо згаданого дослідник, і щодо читача цієї наукової праці назвати прізвище відповідного дослідника. Подібні способи викладу матеріалу – без зазначення прізвищ науковців, на праці яких посилається автор (при дотриманні правил цитування, віддаймо належне) на жаль, досить поширені у цій роботі (с. 7, 9, 10, 11, 12</w:t>
            </w:r>
            <w:r w:rsidR="00725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725090" w:rsidRDefault="00725090" w:rsidP="00FB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:rsidR="00725090" w:rsidRDefault="00725090" w:rsidP="00FB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B7BFC" w:rsidTr="00606680">
        <w:tc>
          <w:tcPr>
            <w:tcW w:w="802" w:type="dxa"/>
          </w:tcPr>
          <w:p w:rsidR="00FB7BFC" w:rsidRDefault="00FB7BFC" w:rsidP="00FB7B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725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FB7BFC" w:rsidRDefault="00FB7BFC" w:rsidP="00FB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роботі виявлені стилістичні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25090" w:rsidRPr="00091EF2" w:rsidRDefault="00725090" w:rsidP="00FB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Окремі джерела оформлені з порушенням вимог ДСТУ 8302:2015</w:t>
            </w:r>
          </w:p>
        </w:tc>
        <w:tc>
          <w:tcPr>
            <w:tcW w:w="1692" w:type="dxa"/>
          </w:tcPr>
          <w:p w:rsidR="00FB7BFC" w:rsidRDefault="00FB7BFC" w:rsidP="00FB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B7BFC" w:rsidRDefault="00FB7BFC" w:rsidP="00FB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078" w:rsidRPr="00E130AE" w:rsidRDefault="001972E1" w:rsidP="00E130AE">
      <w:pPr>
        <w:jc w:val="both"/>
        <w:rPr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F80E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0E56" w:rsidRPr="00E130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робота справляє дещо суперечливі враження. З одного боку, не викликає сумніву її оригінальність і </w:t>
      </w:r>
      <w:proofErr w:type="spellStart"/>
      <w:r w:rsidR="00F80E56" w:rsidRPr="00E130AE">
        <w:rPr>
          <w:rFonts w:ascii="Times New Roman" w:hAnsi="Times New Roman" w:cs="Times New Roman"/>
          <w:bCs/>
          <w:sz w:val="28"/>
          <w:szCs w:val="28"/>
          <w:lang w:val="uk-UA"/>
        </w:rPr>
        <w:t>новітність</w:t>
      </w:r>
      <w:proofErr w:type="spellEnd"/>
      <w:r w:rsidR="00F80E56" w:rsidRPr="00E130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E130AE" w:rsidRPr="00E130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ґрунтовність теоретичної </w:t>
      </w:r>
      <w:r w:rsidR="00AE2F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емпіричної </w:t>
      </w:r>
      <w:r w:rsidR="00E130AE" w:rsidRPr="00E130AE">
        <w:rPr>
          <w:rFonts w:ascii="Times New Roman" w:hAnsi="Times New Roman" w:cs="Times New Roman"/>
          <w:bCs/>
          <w:sz w:val="28"/>
          <w:szCs w:val="28"/>
          <w:lang w:val="uk-UA"/>
        </w:rPr>
        <w:t>розвід</w:t>
      </w:r>
      <w:r w:rsidR="00AE2F13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E130AE" w:rsidRPr="00E130AE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282078">
        <w:rPr>
          <w:rFonts w:ascii="Times New Roman" w:hAnsi="Times New Roman" w:cs="Times New Roman"/>
          <w:bCs/>
          <w:sz w:val="28"/>
          <w:szCs w:val="28"/>
          <w:lang w:val="uk-UA"/>
        </w:rPr>
        <w:t>, важливе практичне значення роботи (адаптація діагностичної методики)</w:t>
      </w:r>
      <w:r w:rsidR="00E130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F80E56" w:rsidRPr="00E130AE">
        <w:rPr>
          <w:rFonts w:ascii="Times New Roman" w:hAnsi="Times New Roman" w:cs="Times New Roman"/>
          <w:bCs/>
          <w:sz w:val="28"/>
          <w:szCs w:val="28"/>
          <w:lang w:val="uk-UA"/>
        </w:rPr>
        <w:t>з іншого боку, враховуючи неузгодженість наукового апарату</w:t>
      </w:r>
      <w:r w:rsidR="00AE2F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r w:rsidR="00F80E56" w:rsidRPr="00E130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E2F13">
        <w:rPr>
          <w:rFonts w:ascii="Times New Roman" w:hAnsi="Times New Roman" w:cs="Times New Roman"/>
          <w:bCs/>
          <w:sz w:val="28"/>
          <w:szCs w:val="28"/>
          <w:lang w:val="uk-UA"/>
        </w:rPr>
        <w:t>ключових для роботи понять</w:t>
      </w:r>
      <w:r w:rsidR="00230F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їх необґрунтовану взаємозаміну у змісті роботи,</w:t>
      </w:r>
      <w:r w:rsidR="00AE2F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80E56" w:rsidRPr="00E130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низку стилістичних і </w:t>
      </w:r>
      <w:proofErr w:type="spellStart"/>
      <w:r w:rsidR="00F80E56" w:rsidRPr="00E130AE">
        <w:rPr>
          <w:rFonts w:ascii="Times New Roman" w:hAnsi="Times New Roman" w:cs="Times New Roman"/>
          <w:bCs/>
          <w:sz w:val="28"/>
          <w:szCs w:val="28"/>
          <w:lang w:val="uk-UA"/>
        </w:rPr>
        <w:t>мовних</w:t>
      </w:r>
      <w:proofErr w:type="spellEnd"/>
      <w:r w:rsidR="00F80E56" w:rsidRPr="00E130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помилок, через які виникають неузгодженості всередині речень, складається враження, що ця наукова праця неналежно вичитана і </w:t>
      </w:r>
      <w:proofErr w:type="spellStart"/>
      <w:r w:rsidR="00F80E56" w:rsidRPr="00E130AE">
        <w:rPr>
          <w:rFonts w:ascii="Times New Roman" w:hAnsi="Times New Roman" w:cs="Times New Roman"/>
          <w:bCs/>
          <w:sz w:val="28"/>
          <w:szCs w:val="28"/>
          <w:lang w:val="uk-UA"/>
        </w:rPr>
        <w:t>відкорегована</w:t>
      </w:r>
      <w:proofErr w:type="spellEnd"/>
      <w:r w:rsidR="00F80E56" w:rsidRPr="00E130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41E86" w:rsidRPr="00E130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Автору/ці робота </w:t>
      </w:r>
      <w:r w:rsidR="00AE2F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безумовно варто продовжувати </w:t>
      </w:r>
      <w:r w:rsidR="00E048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займатися розвитком української науки, але </w:t>
      </w:r>
      <w:r w:rsidR="00C41E86" w:rsidRPr="00E130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своїх подальших розвідках </w:t>
      </w:r>
      <w:r w:rsidR="00E04864">
        <w:rPr>
          <w:rFonts w:ascii="Times New Roman" w:hAnsi="Times New Roman" w:cs="Times New Roman"/>
          <w:bCs/>
          <w:sz w:val="28"/>
          <w:szCs w:val="28"/>
          <w:lang w:val="uk-UA"/>
        </w:rPr>
        <w:t>слід</w:t>
      </w:r>
      <w:r w:rsidR="00E130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41E86" w:rsidRPr="00E130AE">
        <w:rPr>
          <w:rFonts w:ascii="Times New Roman" w:hAnsi="Times New Roman" w:cs="Times New Roman"/>
          <w:bCs/>
          <w:sz w:val="28"/>
          <w:szCs w:val="28"/>
          <w:lang w:val="uk-UA"/>
        </w:rPr>
        <w:t>уважн</w:t>
      </w:r>
      <w:r w:rsidR="00E04864">
        <w:rPr>
          <w:rFonts w:ascii="Times New Roman" w:hAnsi="Times New Roman" w:cs="Times New Roman"/>
          <w:bCs/>
          <w:sz w:val="28"/>
          <w:szCs w:val="28"/>
          <w:lang w:val="uk-UA"/>
        </w:rPr>
        <w:t>іше</w:t>
      </w:r>
      <w:r w:rsidR="00C41E86" w:rsidRPr="00E130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ставитися до використовуваних слів і виразів, досліджу</w:t>
      </w:r>
      <w:r w:rsidR="00230F1F">
        <w:rPr>
          <w:rFonts w:ascii="Times New Roman" w:hAnsi="Times New Roman" w:cs="Times New Roman"/>
          <w:bCs/>
          <w:sz w:val="28"/>
          <w:szCs w:val="28"/>
          <w:lang w:val="uk-UA"/>
        </w:rPr>
        <w:t>вати</w:t>
      </w:r>
      <w:r w:rsidR="00C41E86" w:rsidRPr="00E130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 значення, щоб надалі не ототожнювати нетотожне та не збільшувати термінологічну плутанину, якої, на жаль, досить багато у сучасній психології.</w:t>
      </w:r>
    </w:p>
    <w:sectPr w:rsidR="00282078" w:rsidRPr="00E130AE" w:rsidSect="0028207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3837"/>
    <w:multiLevelType w:val="hybridMultilevel"/>
    <w:tmpl w:val="99CCD05C"/>
    <w:lvl w:ilvl="0" w:tplc="0422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2E1"/>
    <w:rsid w:val="000160F6"/>
    <w:rsid w:val="000C59E0"/>
    <w:rsid w:val="000F2417"/>
    <w:rsid w:val="001972E1"/>
    <w:rsid w:val="001F0922"/>
    <w:rsid w:val="00223612"/>
    <w:rsid w:val="00230F1F"/>
    <w:rsid w:val="002632B9"/>
    <w:rsid w:val="00282078"/>
    <w:rsid w:val="00292BFC"/>
    <w:rsid w:val="002E73A9"/>
    <w:rsid w:val="002F3578"/>
    <w:rsid w:val="002F5F2C"/>
    <w:rsid w:val="003124F9"/>
    <w:rsid w:val="00355DB6"/>
    <w:rsid w:val="00362D41"/>
    <w:rsid w:val="004131F7"/>
    <w:rsid w:val="00474860"/>
    <w:rsid w:val="005A2485"/>
    <w:rsid w:val="00606680"/>
    <w:rsid w:val="00704D0C"/>
    <w:rsid w:val="0071103F"/>
    <w:rsid w:val="00725090"/>
    <w:rsid w:val="00764D63"/>
    <w:rsid w:val="007E08AB"/>
    <w:rsid w:val="0086327D"/>
    <w:rsid w:val="0094367B"/>
    <w:rsid w:val="009C3317"/>
    <w:rsid w:val="00A435FB"/>
    <w:rsid w:val="00AB3437"/>
    <w:rsid w:val="00AE2F13"/>
    <w:rsid w:val="00B22768"/>
    <w:rsid w:val="00C34F9F"/>
    <w:rsid w:val="00C41E86"/>
    <w:rsid w:val="00C773F2"/>
    <w:rsid w:val="00CE7021"/>
    <w:rsid w:val="00D0723D"/>
    <w:rsid w:val="00D175EE"/>
    <w:rsid w:val="00DC0A66"/>
    <w:rsid w:val="00E04864"/>
    <w:rsid w:val="00E130AE"/>
    <w:rsid w:val="00E27B53"/>
    <w:rsid w:val="00E67007"/>
    <w:rsid w:val="00F02A1C"/>
    <w:rsid w:val="00F5067E"/>
    <w:rsid w:val="00F80E56"/>
    <w:rsid w:val="00FB7BFC"/>
    <w:rsid w:val="00F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9423B-9A44-4CA0-8F1B-4C3E615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D41"/>
    <w:pPr>
      <w:keepNext/>
      <w:keepLines/>
      <w:spacing w:after="0" w:line="360" w:lineRule="auto"/>
      <w:ind w:firstLine="720"/>
      <w:jc w:val="both"/>
      <w:outlineLvl w:val="2"/>
    </w:pPr>
    <w:rPr>
      <w:rFonts w:ascii="Times New Roman" w:eastAsiaTheme="majorEastAsia" w:hAnsi="Times New Roman" w:cstheme="majorBidi"/>
      <w:b/>
      <w:i/>
      <w:color w:val="000000" w:themeColor="text1"/>
      <w:sz w:val="28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F2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62D41"/>
    <w:rPr>
      <w:rFonts w:ascii="Times New Roman" w:eastAsiaTheme="majorEastAsia" w:hAnsi="Times New Roman" w:cstheme="majorBidi"/>
      <w:b/>
      <w:i/>
      <w:color w:val="000000" w:themeColor="text1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5049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10</cp:revision>
  <dcterms:created xsi:type="dcterms:W3CDTF">2023-05-22T16:39:00Z</dcterms:created>
  <dcterms:modified xsi:type="dcterms:W3CDTF">2023-06-09T19:41:00Z</dcterms:modified>
</cp:coreProperties>
</file>